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3" w:type="dxa"/>
        <w:tblCellSpacing w:w="0" w:type="dxa"/>
        <w:tblInd w:w="-459" w:type="dxa"/>
        <w:shd w:val="clear" w:color="auto" w:fill="FFFFFF"/>
        <w:tblCellMar>
          <w:left w:w="0" w:type="dxa"/>
          <w:right w:w="0" w:type="dxa"/>
        </w:tblCellMar>
        <w:tblLook w:val="04A0" w:firstRow="1" w:lastRow="0" w:firstColumn="1" w:lastColumn="0" w:noHBand="0" w:noVBand="1"/>
      </w:tblPr>
      <w:tblGrid>
        <w:gridCol w:w="4536"/>
        <w:gridCol w:w="6257"/>
      </w:tblGrid>
      <w:tr w:rsidR="00DC31B0" w:rsidRPr="00DC31B0" w:rsidTr="00DC31B0">
        <w:trPr>
          <w:trHeight w:val="1528"/>
          <w:tblCellSpacing w:w="0" w:type="dxa"/>
        </w:trPr>
        <w:tc>
          <w:tcPr>
            <w:tcW w:w="4536" w:type="dxa"/>
            <w:shd w:val="clear" w:color="auto" w:fill="FFFFFF"/>
            <w:tcMar>
              <w:top w:w="0" w:type="dxa"/>
              <w:left w:w="108" w:type="dxa"/>
              <w:bottom w:w="0" w:type="dxa"/>
              <w:right w:w="108" w:type="dxa"/>
            </w:tcMar>
            <w:hideMark/>
          </w:tcPr>
          <w:p w:rsidR="00DC31B0" w:rsidRPr="00DC31B0" w:rsidRDefault="00DC31B0" w:rsidP="00DC31B0">
            <w:pPr>
              <w:spacing w:before="120" w:after="120" w:line="234" w:lineRule="atLeast"/>
              <w:jc w:val="center"/>
              <w:rPr>
                <w:rFonts w:ascii="Times New Roman" w:eastAsia="Times New Roman" w:hAnsi="Times New Roman" w:cs="Times New Roman"/>
                <w:color w:val="000000"/>
                <w:sz w:val="28"/>
                <w:szCs w:val="28"/>
              </w:rPr>
            </w:pPr>
            <w:bookmarkStart w:id="0" w:name="_GoBack"/>
            <w:bookmarkEnd w:id="0"/>
            <w:r w:rsidRPr="00DC31B0">
              <w:rPr>
                <w:rFonts w:ascii="Times New Roman" w:eastAsia="Times New Roman" w:hAnsi="Times New Roman" w:cs="Times New Roman"/>
                <w:color w:val="000000"/>
                <w:sz w:val="26"/>
                <w:szCs w:val="26"/>
              </w:rPr>
              <w:t>BAN CHẤP HÀNH TRUNG ƯƠNG</w:t>
            </w:r>
            <w:r w:rsidRPr="00DC31B0">
              <w:rPr>
                <w:rFonts w:ascii="Times New Roman" w:eastAsia="Times New Roman" w:hAnsi="Times New Roman" w:cs="Times New Roman"/>
                <w:color w:val="000000"/>
                <w:sz w:val="26"/>
                <w:szCs w:val="26"/>
              </w:rPr>
              <w:br/>
            </w:r>
            <w:r w:rsidRPr="00DC31B0">
              <w:rPr>
                <w:rFonts w:ascii="Times New Roman" w:eastAsia="Times New Roman" w:hAnsi="Times New Roman" w:cs="Times New Roman"/>
                <w:b/>
                <w:bCs/>
                <w:color w:val="000000"/>
                <w:sz w:val="26"/>
                <w:szCs w:val="26"/>
              </w:rPr>
              <w:t>BAN TUYÊN GIÁO</w:t>
            </w:r>
            <w:r w:rsidRPr="00DC31B0">
              <w:rPr>
                <w:rFonts w:ascii="Times New Roman" w:eastAsia="Times New Roman" w:hAnsi="Times New Roman" w:cs="Times New Roman"/>
                <w:b/>
                <w:bCs/>
                <w:color w:val="000000"/>
                <w:sz w:val="26"/>
                <w:szCs w:val="26"/>
              </w:rPr>
              <w:br/>
            </w:r>
            <w:r w:rsidRPr="00DC31B0">
              <w:rPr>
                <w:rFonts w:ascii="Times New Roman" w:eastAsia="Times New Roman" w:hAnsi="Times New Roman" w:cs="Times New Roman"/>
                <w:b/>
                <w:bCs/>
                <w:color w:val="000000"/>
                <w:sz w:val="28"/>
                <w:szCs w:val="28"/>
              </w:rPr>
              <w:t>-------</w:t>
            </w:r>
          </w:p>
        </w:tc>
        <w:tc>
          <w:tcPr>
            <w:tcW w:w="6257" w:type="dxa"/>
            <w:shd w:val="clear" w:color="auto" w:fill="FFFFFF"/>
            <w:tcMar>
              <w:top w:w="0" w:type="dxa"/>
              <w:left w:w="108" w:type="dxa"/>
              <w:bottom w:w="0" w:type="dxa"/>
              <w:right w:w="108" w:type="dxa"/>
            </w:tcMar>
            <w:hideMark/>
          </w:tcPr>
          <w:p w:rsidR="00DC31B0" w:rsidRPr="00DC31B0" w:rsidRDefault="00DC31B0" w:rsidP="00DC31B0">
            <w:pPr>
              <w:spacing w:before="120" w:after="120" w:line="234" w:lineRule="atLeast"/>
              <w:jc w:val="center"/>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ĐẢNG CỘNG SẢN VIỆT NAM</w:t>
            </w:r>
            <w:r w:rsidRPr="00DC31B0">
              <w:rPr>
                <w:rFonts w:ascii="Times New Roman" w:eastAsia="Times New Roman" w:hAnsi="Times New Roman" w:cs="Times New Roman"/>
                <w:b/>
                <w:bCs/>
                <w:color w:val="000000"/>
                <w:sz w:val="28"/>
                <w:szCs w:val="28"/>
              </w:rPr>
              <w:br/>
              <w:t>---------------</w:t>
            </w:r>
          </w:p>
        </w:tc>
      </w:tr>
      <w:tr w:rsidR="00DC31B0" w:rsidRPr="00DC31B0" w:rsidTr="00DC31B0">
        <w:trPr>
          <w:trHeight w:val="1277"/>
          <w:tblCellSpacing w:w="0" w:type="dxa"/>
        </w:trPr>
        <w:tc>
          <w:tcPr>
            <w:tcW w:w="4536" w:type="dxa"/>
            <w:shd w:val="clear" w:color="auto" w:fill="FFFFFF"/>
            <w:tcMar>
              <w:top w:w="0" w:type="dxa"/>
              <w:left w:w="108" w:type="dxa"/>
              <w:bottom w:w="0" w:type="dxa"/>
              <w:right w:w="108" w:type="dxa"/>
            </w:tcMar>
            <w:hideMark/>
          </w:tcPr>
          <w:p w:rsidR="00DC31B0" w:rsidRPr="00DC31B0" w:rsidRDefault="00DC31B0" w:rsidP="00DC31B0">
            <w:pPr>
              <w:spacing w:after="0" w:line="234" w:lineRule="atLeast"/>
              <w:rPr>
                <w:rFonts w:ascii="Times New Roman" w:eastAsia="Times New Roman" w:hAnsi="Times New Roman" w:cs="Times New Roman"/>
                <w:color w:val="000000"/>
                <w:sz w:val="28"/>
                <w:szCs w:val="28"/>
              </w:rPr>
            </w:pPr>
            <w:bookmarkStart w:id="1" w:name="loai_1"/>
            <w:r w:rsidRPr="00DC31B0">
              <w:rPr>
                <w:rFonts w:ascii="Times New Roman" w:eastAsia="Times New Roman" w:hAnsi="Times New Roman" w:cs="Times New Roman"/>
                <w:color w:val="000000"/>
                <w:sz w:val="28"/>
                <w:szCs w:val="28"/>
              </w:rPr>
              <w:t xml:space="preserve">Số: </w:t>
            </w:r>
            <w:r w:rsidRPr="00DC31B0">
              <w:rPr>
                <w:rFonts w:ascii="Times New Roman" w:eastAsia="Times New Roman" w:hAnsi="Times New Roman" w:cs="Times New Roman"/>
                <w:i/>
                <w:color w:val="000000"/>
                <w:sz w:val="28"/>
                <w:szCs w:val="28"/>
              </w:rPr>
              <w:t>9743-CV/BTGTW</w:t>
            </w:r>
            <w:bookmarkEnd w:id="1"/>
            <w:r w:rsidRPr="00DC31B0">
              <w:rPr>
                <w:rFonts w:ascii="Times New Roman" w:eastAsia="Times New Roman" w:hAnsi="Times New Roman" w:cs="Times New Roman"/>
                <w:i/>
                <w:color w:val="000000"/>
                <w:sz w:val="28"/>
                <w:szCs w:val="28"/>
              </w:rPr>
              <w:br/>
            </w:r>
            <w:bookmarkStart w:id="2" w:name="loai_1_name"/>
            <w:r w:rsidRPr="00DC31B0">
              <w:rPr>
                <w:rFonts w:ascii="Times New Roman" w:eastAsia="Times New Roman" w:hAnsi="Times New Roman" w:cs="Times New Roman"/>
                <w:i/>
                <w:iCs/>
                <w:color w:val="000000"/>
                <w:sz w:val="28"/>
                <w:szCs w:val="28"/>
              </w:rPr>
              <w:t>V/v trang trí khánh tiết đại hội đảng bộ các cấp nhiệm kỳ 2025 - 2030</w:t>
            </w:r>
            <w:bookmarkEnd w:id="2"/>
          </w:p>
        </w:tc>
        <w:tc>
          <w:tcPr>
            <w:tcW w:w="6257" w:type="dxa"/>
            <w:shd w:val="clear" w:color="auto" w:fill="FFFFFF"/>
            <w:tcMar>
              <w:top w:w="0" w:type="dxa"/>
              <w:left w:w="108" w:type="dxa"/>
              <w:bottom w:w="0" w:type="dxa"/>
              <w:right w:w="108" w:type="dxa"/>
            </w:tcMar>
            <w:hideMark/>
          </w:tcPr>
          <w:p w:rsidR="00DC31B0" w:rsidRPr="00DC31B0" w:rsidRDefault="00DC31B0" w:rsidP="00DC31B0">
            <w:pPr>
              <w:spacing w:before="120" w:after="120" w:line="234" w:lineRule="atLeast"/>
              <w:jc w:val="righ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Hà Nội, ngày 16 tháng 10 năm 2024</w:t>
            </w:r>
          </w:p>
        </w:tc>
      </w:tr>
    </w:tbl>
    <w:p w:rsidR="00DC31B0" w:rsidRPr="00DC31B0" w:rsidRDefault="00DC31B0" w:rsidP="00DC31B0">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4"/>
        <w:gridCol w:w="6425"/>
      </w:tblGrid>
      <w:tr w:rsidR="00DC31B0" w:rsidRPr="00DC31B0" w:rsidTr="00DC31B0">
        <w:trPr>
          <w:tblCellSpacing w:w="0" w:type="dxa"/>
        </w:trPr>
        <w:tc>
          <w:tcPr>
            <w:tcW w:w="1650" w:type="pct"/>
            <w:shd w:val="clear" w:color="auto" w:fill="FFFFFF"/>
            <w:hideMark/>
          </w:tcPr>
          <w:p w:rsidR="00DC31B0" w:rsidRPr="00DC31B0" w:rsidRDefault="00DC31B0" w:rsidP="00DC31B0">
            <w:pPr>
              <w:spacing w:before="120" w:after="120" w:line="234" w:lineRule="atLeast"/>
              <w:jc w:val="right"/>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Kính gửi:</w:t>
            </w:r>
          </w:p>
        </w:tc>
        <w:tc>
          <w:tcPr>
            <w:tcW w:w="3300" w:type="pct"/>
            <w:shd w:val="clear" w:color="auto" w:fill="FFFFFF"/>
            <w:hideMark/>
          </w:tcPr>
          <w:p w:rsidR="00DC31B0" w:rsidRPr="00DC31B0" w:rsidRDefault="00DC31B0" w:rsidP="00DC31B0">
            <w:pPr>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Các ban đảng Trung ương,</w:t>
            </w:r>
            <w:r w:rsidRPr="00DC31B0">
              <w:rPr>
                <w:rFonts w:ascii="Times New Roman" w:eastAsia="Times New Roman" w:hAnsi="Times New Roman" w:cs="Times New Roman"/>
                <w:color w:val="000000"/>
                <w:sz w:val="28"/>
                <w:szCs w:val="28"/>
              </w:rPr>
              <w:br/>
              <w:t>- Các Văn phòng: Trung ương Đảng, Quốc hội, Chủ tịch nước, Chính phủ,</w:t>
            </w:r>
            <w:r w:rsidRPr="00DC31B0">
              <w:rPr>
                <w:rFonts w:ascii="Times New Roman" w:eastAsia="Times New Roman" w:hAnsi="Times New Roman" w:cs="Times New Roman"/>
                <w:color w:val="000000"/>
                <w:sz w:val="28"/>
                <w:szCs w:val="28"/>
              </w:rPr>
              <w:br/>
              <w:t>- Các tỉnh ủy, thành ủy, ban cán sự đảng, đảng đoàn, đảng ủy trực thuộc Trung ương,</w:t>
            </w:r>
            <w:r w:rsidRPr="00DC31B0">
              <w:rPr>
                <w:rFonts w:ascii="Times New Roman" w:eastAsia="Times New Roman" w:hAnsi="Times New Roman" w:cs="Times New Roman"/>
                <w:color w:val="000000"/>
                <w:sz w:val="28"/>
                <w:szCs w:val="28"/>
              </w:rPr>
              <w:br/>
              <w:t>- Ủy ban Trung ương Mặt trận Tổ quốc Việt Nam và Trung ương các tổ chức chính trị - xã hội,</w:t>
            </w:r>
          </w:p>
        </w:tc>
      </w:tr>
    </w:tbl>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Căn cứ Chỉ thị số 35-CT/TW ngày 14/6/2024 của Bộ Chính trị </w:t>
      </w:r>
      <w:r w:rsidRPr="00DC31B0">
        <w:rPr>
          <w:rFonts w:ascii="Times New Roman" w:eastAsia="Times New Roman" w:hAnsi="Times New Roman" w:cs="Times New Roman"/>
          <w:i/>
          <w:iCs/>
          <w:color w:val="000000"/>
          <w:sz w:val="28"/>
          <w:szCs w:val="28"/>
        </w:rPr>
        <w:t>về đại hội đảng bộ các cấp tiến tới Đại hội đại biểu toàn quốc lần thứ XIV của Đảng;</w:t>
      </w:r>
      <w:r w:rsidRPr="00DC31B0">
        <w:rPr>
          <w:rFonts w:ascii="Times New Roman" w:eastAsia="Times New Roman" w:hAnsi="Times New Roman" w:cs="Times New Roman"/>
          <w:color w:val="000000"/>
          <w:sz w:val="28"/>
          <w:szCs w:val="28"/>
        </w:rPr>
        <w:t> Kết luận số 01-KL/TBTCPV ngày 03/5/2024 của Tiểu ban Tổ chức phục vụ Đại hội XIV của Đảng </w:t>
      </w:r>
      <w:r w:rsidRPr="00DC31B0">
        <w:rPr>
          <w:rFonts w:ascii="Times New Roman" w:eastAsia="Times New Roman" w:hAnsi="Times New Roman" w:cs="Times New Roman"/>
          <w:i/>
          <w:iCs/>
          <w:color w:val="000000"/>
          <w:sz w:val="28"/>
          <w:szCs w:val="28"/>
        </w:rPr>
        <w:t>về việc phân công nhiệm vụ tổ chức phục vụ Đại hội XIV của Đảng;</w:t>
      </w:r>
      <w:r w:rsidRPr="00DC31B0">
        <w:rPr>
          <w:rFonts w:ascii="Times New Roman" w:eastAsia="Times New Roman" w:hAnsi="Times New Roman" w:cs="Times New Roman"/>
          <w:color w:val="000000"/>
          <w:sz w:val="28"/>
          <w:szCs w:val="28"/>
        </w:rPr>
        <w:t> Kế hoạch số 488-KH/BTGTW ngày 28/5/2024 của Ban Tuyên giáo Trung ương </w:t>
      </w:r>
      <w:r w:rsidRPr="00DC31B0">
        <w:rPr>
          <w:rFonts w:ascii="Times New Roman" w:eastAsia="Times New Roman" w:hAnsi="Times New Roman" w:cs="Times New Roman"/>
          <w:i/>
          <w:iCs/>
          <w:color w:val="000000"/>
          <w:sz w:val="28"/>
          <w:szCs w:val="28"/>
        </w:rPr>
        <w:t>về việc tổ chức phục vụ Đại hội đại biểu toàn quốc lần thứ XIV của Đảng;</w:t>
      </w:r>
      <w:r w:rsidRPr="00DC31B0">
        <w:rPr>
          <w:rFonts w:ascii="Times New Roman" w:eastAsia="Times New Roman" w:hAnsi="Times New Roman" w:cs="Times New Roman"/>
          <w:color w:val="000000"/>
          <w:sz w:val="28"/>
          <w:szCs w:val="28"/>
        </w:rPr>
        <w:t> Ban Tuyên giáo Trung ương hướng dẫn trang trí khánh tiết về đại hội đảng bộ các cấp nhiệm kỳ 2025 - 2030, như sau:</w:t>
      </w:r>
    </w:p>
    <w:p w:rsidR="00DC31B0" w:rsidRPr="00DC31B0" w:rsidRDefault="00DC31B0" w:rsidP="00DC31B0">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DC31B0">
        <w:rPr>
          <w:rFonts w:ascii="Times New Roman" w:eastAsia="Times New Roman" w:hAnsi="Times New Roman" w:cs="Times New Roman"/>
          <w:b/>
          <w:bCs/>
          <w:color w:val="000000"/>
          <w:sz w:val="28"/>
          <w:szCs w:val="28"/>
        </w:rPr>
        <w:t>1. Bên trong Hội trường:</w:t>
      </w:r>
      <w:bookmarkEnd w:id="3"/>
      <w:r w:rsidRPr="00DC31B0">
        <w:rPr>
          <w:rFonts w:ascii="Times New Roman" w:eastAsia="Times New Roman" w:hAnsi="Times New Roman" w:cs="Times New Roman"/>
          <w:color w:val="000000"/>
          <w:sz w:val="28"/>
          <w:szCs w:val="28"/>
        </w:rPr>
        <w:t> Bố trí bố cục sân khấu nhìn từ dưới lên lễ đài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1.1. Khẩu hiệu phía trên chính giữa Hội trường</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ĐẢNG CỘNG SẢN VIỆT NAM QUANG VINH MUÔN NĂM !</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1.2. Cờ, ảnh Lãnh tụ</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Sử dụng cờ Đảng và cờ Tổ quốc trong trang trí khánh tiết: </w:t>
      </w:r>
      <w:r w:rsidRPr="00DC31B0">
        <w:rPr>
          <w:rFonts w:ascii="Times New Roman" w:eastAsia="Times New Roman" w:hAnsi="Times New Roman" w:cs="Times New Roman"/>
          <w:i/>
          <w:iCs/>
          <w:color w:val="000000"/>
          <w:sz w:val="28"/>
          <w:szCs w:val="28"/>
        </w:rPr>
        <w:t>Thực hiện theo Quy định số 99-QĐ/TW, ngày 27/2/2023 của Ban Bí thư Trung ương Đảng về cờ Đảng Cộng sản Việt Nam và việc sử dụng cờ Đảng; Hướng dẫn số 105-HD/BTGTW, ngày 29/5/2023 của Ban Tuyên giáo Trung ương thực hiện Quy định của Ban Bí thư về cờ Đảng Cộng sản Việt Nam và việc sử dụng cờ Đảng.</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Tượng bán thân Chủ tịch Hồ Chí Minh đặt trên bục cao phía dưới giữa cờ Đảng và cờ Tổ quốc. Trường hợp cờ được treo trên cột thì tượng bán thân Chủ tịch Hồ Chí Minh được đặt chếch phía trước bên phải cột cờ.</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Ảnh Các Mác và V.I.Lênin treo phía bên phải của phông (Các Mác bên trái, V.I.Lênin bên phải).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1.3. Khẩu hiệu hai bên cánh gà trong hội trường</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Bên trái: </w:t>
      </w:r>
      <w:r w:rsidRPr="00DC31B0">
        <w:rPr>
          <w:rFonts w:ascii="Times New Roman" w:eastAsia="Times New Roman" w:hAnsi="Times New Roman" w:cs="Times New Roman"/>
          <w:b/>
          <w:bCs/>
          <w:color w:val="000000"/>
          <w:sz w:val="28"/>
          <w:szCs w:val="28"/>
        </w:rPr>
        <w:t>ĐẢNG CỘNG SẢN VIỆT NAM - NGƯỜI LÃNH ĐẠO, TỔ CHỨC MỌI THẮNG LỢI CỦA CÁCH MẠNG VIỆT NAM</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lastRenderedPageBreak/>
        <w:t>- Bên phải: Nội dung khẩu hiệu hành động hoặc chủ đề của Đại hội gắn với mục tiêu, quyết tâm thực hiện nghị quyết, nhiệm vụ đại hội đảng bộ.</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1.4. Bên dưới chân phông có thể bố trí một hàng chậu cây cảnh, hoa tươi....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Hoa trang trí đặt ở phía dưới, trước tượng Chủ tịch Hồ Chí Minh.</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Việc đặt lẵng hoa, cây cảnh phải phù hợp với không gian của lễ đài, mang tính thẩm mỹ cao.</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1.5. Giữa sân khấu là bàn Đoàn chủ tịch.</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1.6. Bục phát biểu được đặt ở vị trí 1/3 chiều ngang của lễ đài tính từ bên phải sang trái.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1.7. Bên trái sân khấu bố trí bàn Thư ký đại hội.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1.8. Trước sân khấu có thể bố trí hàng hoa tươi (tùy theo điều kiện từng đơn vị).</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i/>
          <w:iCs/>
          <w:color w:val="000000"/>
          <w:sz w:val="28"/>
          <w:szCs w:val="28"/>
        </w:rPr>
        <w:t>1.9. Maket phông chính: Đặt phía dưới ảnh Các Mác và V.I.Lênin (nhìn tổng thể cân đối, hài hòa).</w:t>
      </w:r>
    </w:p>
    <w:p w:rsidR="00DC31B0" w:rsidRPr="00DC31B0" w:rsidRDefault="00DC31B0" w:rsidP="00DC31B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ĐẢNG BỘ..</w:t>
      </w:r>
    </w:p>
    <w:p w:rsidR="00DC31B0" w:rsidRPr="00DC31B0" w:rsidRDefault="00DC31B0" w:rsidP="00DC31B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ĐẠI HỘI ĐẠI BIỂU LẦN THỨ....</w:t>
      </w:r>
    </w:p>
    <w:p w:rsidR="00DC31B0" w:rsidRPr="00DC31B0" w:rsidRDefault="00DC31B0" w:rsidP="00DC31B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NHIỆM KỲ 2025 - 2030</w:t>
      </w:r>
    </w:p>
    <w:p w:rsidR="00DC31B0" w:rsidRPr="00DC31B0" w:rsidRDefault="00DC31B0" w:rsidP="00DC31B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 ngày....... tháng......... năm 2025</w:t>
      </w:r>
    </w:p>
    <w:p w:rsidR="00DC31B0" w:rsidRPr="00DC31B0" w:rsidRDefault="00DC31B0" w:rsidP="00DC31B0">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DC31B0">
        <w:rPr>
          <w:rFonts w:ascii="Times New Roman" w:eastAsia="Times New Roman" w:hAnsi="Times New Roman" w:cs="Times New Roman"/>
          <w:b/>
          <w:bCs/>
          <w:color w:val="000000"/>
          <w:sz w:val="28"/>
          <w:szCs w:val="28"/>
        </w:rPr>
        <w:t>2. Bên ngoài Hội trường</w:t>
      </w:r>
      <w:bookmarkEnd w:id="4"/>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Bố trí băng rôn, khẩu hiệu chào mừng Đại hội.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Nên bố trí chậu cây cảnh, hoa tươi bên ngoài hội trường phù hợp với không gian và điều kiện của từng đơn vị bảo đảm trang trọng, thẩm mỹ.</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Hành lang Hội trường có thể trang trí tranh cổ động hoặc triển lãm ảnh về các hoạt động nổi bật của đảng bộ các cấp trong nhiệm kỳ vừa qua và trưng bày một số thành tựu trong phát triển kinh tế - xã hội của bộ, ngành, địa phương, đoàn thể, cơ quan, đơn vị.</w:t>
      </w:r>
    </w:p>
    <w:p w:rsidR="00DC31B0" w:rsidRPr="00DC31B0" w:rsidRDefault="00DC31B0" w:rsidP="00DC31B0">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DC31B0">
        <w:rPr>
          <w:rFonts w:ascii="Times New Roman" w:eastAsia="Times New Roman" w:hAnsi="Times New Roman" w:cs="Times New Roman"/>
          <w:b/>
          <w:bCs/>
          <w:color w:val="000000"/>
          <w:sz w:val="28"/>
          <w:szCs w:val="28"/>
        </w:rPr>
        <w:t>3. Bên ngoài địa điểm tổ chức Đại hội</w:t>
      </w:r>
      <w:bookmarkEnd w:id="5"/>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Tập trung tuyên truyền cổ động trực quan, như bố trí cờ, panô, áp phích, băng rôn, cờ hồng (hoặc cờ phướn nhiều màu sắc).... tại khu trung tâm hành chính, quảng trường, các trục đường chính dẫn đến nơi tổ chức Đại hội, khu vực đông dân cư trên địa bàn, đặc biệt là xung quanh địa điểm tổ chức Đại hội.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Hướng dẫn Nhân dân treo cờ Đảng, cờ Tổ quốc trang trọng, cân đối hài hòa trên cả tuyến phố chào mừng Đại hội.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Tổ chức triển lãm tranh cổ động, ảnh, tư liệu, về đại hội đảng bộ các cấp và Đại hội XIV của Đảng; chỉnh trang đô thị, khu dân cư xanh, sạch, đẹp.</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Gắn biển công trình chào mừng đại hội đảng bộ các cấp và Đại hội XIV của Đảng </w:t>
      </w:r>
      <w:r w:rsidRPr="00DC31B0">
        <w:rPr>
          <w:rFonts w:ascii="Times New Roman" w:eastAsia="Times New Roman" w:hAnsi="Times New Roman" w:cs="Times New Roman"/>
          <w:i/>
          <w:iCs/>
          <w:color w:val="000000"/>
          <w:sz w:val="28"/>
          <w:szCs w:val="28"/>
        </w:rPr>
        <w:t>(nếu có).</w:t>
      </w:r>
    </w:p>
    <w:p w:rsidR="00DC31B0" w:rsidRPr="00DC31B0" w:rsidRDefault="00DC31B0" w:rsidP="00DC31B0">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DC31B0">
        <w:rPr>
          <w:rFonts w:ascii="Times New Roman" w:eastAsia="Times New Roman" w:hAnsi="Times New Roman" w:cs="Times New Roman"/>
          <w:b/>
          <w:bCs/>
          <w:color w:val="000000"/>
          <w:sz w:val="28"/>
          <w:szCs w:val="28"/>
        </w:rPr>
        <w:t>4. Khẩu hiệu tuyên truyền đại hội</w:t>
      </w:r>
      <w:bookmarkEnd w:id="6"/>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lastRenderedPageBreak/>
        <w:t>- Nhiệt liệt chào mừng Đại hội đảng bộ các cấp nhiệm kỳ 2025 - 2030!</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Nhiệt liệt chào mừng Đại hội đại biểu toàn quốc lần thứ XIV của Đảng Cộng sản Việt Nam!</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Sáng suốt lựa chọn những đồng chí tiêu biểu về bản lĩnh chính trị, trí tuệ, phẩm chất, đạo đức, lối sống, năng lực, uy tín bầu vào cấp ủy các cấp!</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Kiên định mục tiêu độc lập dân tộc gắn liền với chủ nghĩa xã hội trên nền tảng chủ nghĩa Mác - Lênin, tư tưởng Hồ Chí Minh!</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Xây dựng, phát triển đất nước trên tinh thần “tự chủ, tự tin, tự lực, tự cường, tự hào dân tộc”!</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Phát huy ý chí và sức mạnh đại đoàn kết dân tộc kết hợp với sức mạnh thời đại để xây dựng và bảo vệ vững chắc Tổ quốc Việt Nam xã hội chủ nghĩa!</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Đảng Cộng sản Việt Nam - Người lãnh đạo, tổ chức mọi thắng lợi của cách mạng Việt Nam!</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Toàn Đảng, toàn dân, toàn quân đồng lòng chung sức xây dựng và bảo vệ Tổ quốc Việt Nam xã hội chủ nghĩa giàu đẹp, văn minh!</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Đẩy mạnh các phong trào thi đua yêu nước, lập thành tích chào mừng đại hội đảng bộ các cấp và Đại hội đại biểu toàn quốc lần thứ XIV của Đảng!</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Đại hội đại biểu toàn quốc lần thứ XIV của Đảng - Dấu mốc quan trọng trên con đường phát triển của đất nước và dân tộc ta!</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Thời điểm lịch sử mới, kỷ nguyên mới - kỷ nguyên vươn mình của dân tộc Việt Nam!</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Đoàn kết, đoàn kết, đại đoàn kết - Thành công, thành công, đại thành công!</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Dân tộc cường thịnh, trường tồn - Đất nước phồn vinh, hạnh phúc!</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Đảng lãnh đạo, Nhà nước quản lý, Mặt trận Tổ quốc và các tổ chức chính trị - xã hội làm nòng cốt để Nhân dân làm chủ!</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Xây dựng Đảng và hệ thống chính trị trong sạch, vững mạnh toàn diện!</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Đảng gắn bó mật thiết với Nhân dân, dựa vào Nhân dân để xây dựng Đảng!</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Đảng quang vinh, dân tộc anh hùng, Bác Hồ vĩ đại!</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Vinh quang đời đời thuộc về dân tộc Việt Nam văn hiến và anh hùng!</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Tất cả vì mục tiêu dân giàu, nước mạnh, dân chủ, công bằng, văn minh!</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Đảng Cộng sản Việt Nam quang vinh muôn năm!</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Nước Cộng hòa xã hội chủ nghĩa Việt Nam muôn năm!</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Chủ tịch Hồ Chí Minh vĩ đại sống mãi trong sự nghiệp của chúng ta!</w:t>
      </w:r>
    </w:p>
    <w:p w:rsidR="00DC31B0" w:rsidRPr="00DC31B0" w:rsidRDefault="00DC31B0" w:rsidP="00DC31B0">
      <w:pPr>
        <w:shd w:val="clear" w:color="auto" w:fill="FFFFFF"/>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color w:val="000000"/>
          <w:sz w:val="28"/>
          <w:szCs w:val="28"/>
        </w:rPr>
        <w:t xml:space="preserve">Ban Tuyên giáo Trung ương đề nghị các tỉnh ủy, thành ủy, ban cán sự đảng, đảng đoàn, đảng ủy trực thuộc Trung ương chỉ đạo, kiểm tra việc trang trí khánh tiết tại hội trường, phòng họp, phòng làm việc,... ở các cấp, các ngành bảo đảm thực hiện nghiêm Quy định số 99-QĐ/TW, ngày 27/2/2023 của Ban Bí thư Trung ương Đảng </w:t>
      </w:r>
      <w:r w:rsidRPr="00DC31B0">
        <w:rPr>
          <w:rFonts w:ascii="Times New Roman" w:eastAsia="Times New Roman" w:hAnsi="Times New Roman" w:cs="Times New Roman"/>
          <w:color w:val="000000"/>
          <w:sz w:val="28"/>
          <w:szCs w:val="28"/>
        </w:rPr>
        <w:lastRenderedPageBreak/>
        <w:t>về cờ Đảng Cộng sản Việt Nam và việc sử dụng cờ Đảng; Hướng dẫn số 105-HD/BTGTW, ngày 29/5/2023 của Ban Tuyên giáo Trung và nội dung hướng dẫn tại văn bản này trong tổ chức trang trí khánh tiết Đại hội đảng các cấp, tránh để các thế lực thù địch lợi dụng chống phá Đảng.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27"/>
        <w:gridCol w:w="4928"/>
      </w:tblGrid>
      <w:tr w:rsidR="00DC31B0" w:rsidRPr="00DC31B0" w:rsidTr="00DC31B0">
        <w:trPr>
          <w:tblCellSpacing w:w="0" w:type="dxa"/>
        </w:trPr>
        <w:tc>
          <w:tcPr>
            <w:tcW w:w="4428" w:type="dxa"/>
            <w:shd w:val="clear" w:color="auto" w:fill="FFFFFF"/>
            <w:tcMar>
              <w:top w:w="0" w:type="dxa"/>
              <w:left w:w="108" w:type="dxa"/>
              <w:bottom w:w="0" w:type="dxa"/>
              <w:right w:w="108" w:type="dxa"/>
            </w:tcMar>
            <w:hideMark/>
          </w:tcPr>
          <w:p w:rsidR="00DC31B0" w:rsidRPr="00DC31B0" w:rsidRDefault="00DC31B0" w:rsidP="00DC31B0">
            <w:pPr>
              <w:spacing w:before="120" w:after="120" w:line="234" w:lineRule="atLeast"/>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i/>
                <w:iCs/>
                <w:color w:val="000000"/>
                <w:sz w:val="28"/>
                <w:szCs w:val="28"/>
              </w:rPr>
              <w:br/>
              <w:t>Nơi nhận:</w:t>
            </w:r>
            <w:r w:rsidRPr="00DC31B0">
              <w:rPr>
                <w:rFonts w:ascii="Times New Roman" w:eastAsia="Times New Roman" w:hAnsi="Times New Roman" w:cs="Times New Roman"/>
                <w:b/>
                <w:bCs/>
                <w:i/>
                <w:iCs/>
                <w:color w:val="000000"/>
                <w:sz w:val="28"/>
                <w:szCs w:val="28"/>
              </w:rPr>
              <w:br/>
            </w:r>
            <w:r w:rsidRPr="00DC31B0">
              <w:rPr>
                <w:rFonts w:ascii="Times New Roman" w:eastAsia="Times New Roman" w:hAnsi="Times New Roman" w:cs="Times New Roman"/>
                <w:color w:val="000000"/>
              </w:rPr>
              <w:t>- Như trên,</w:t>
            </w:r>
            <w:r w:rsidRPr="00DC31B0">
              <w:rPr>
                <w:rFonts w:ascii="Times New Roman" w:eastAsia="Times New Roman" w:hAnsi="Times New Roman" w:cs="Times New Roman"/>
                <w:color w:val="000000"/>
              </w:rPr>
              <w:br/>
              <w:t>- Thường trực Ban Bí thư (để b/c),</w:t>
            </w:r>
            <w:r w:rsidRPr="00DC31B0">
              <w:rPr>
                <w:rFonts w:ascii="Times New Roman" w:eastAsia="Times New Roman" w:hAnsi="Times New Roman" w:cs="Times New Roman"/>
                <w:color w:val="000000"/>
              </w:rPr>
              <w:br/>
              <w:t>- Đ/c Trưởng ban (để b/c),</w:t>
            </w:r>
            <w:r w:rsidRPr="00DC31B0">
              <w:rPr>
                <w:rFonts w:ascii="Times New Roman" w:eastAsia="Times New Roman" w:hAnsi="Times New Roman" w:cs="Times New Roman"/>
                <w:color w:val="000000"/>
              </w:rPr>
              <w:br/>
              <w:t>- Lãnh đạo Ban,</w:t>
            </w:r>
            <w:r w:rsidRPr="00DC31B0">
              <w:rPr>
                <w:rFonts w:ascii="Times New Roman" w:eastAsia="Times New Roman" w:hAnsi="Times New Roman" w:cs="Times New Roman"/>
                <w:color w:val="000000"/>
              </w:rPr>
              <w:br/>
              <w:t>- BTG các tỉnh ủy, thành ủy, đảng ủy trực thuộc TW,</w:t>
            </w:r>
            <w:r w:rsidRPr="00DC31B0">
              <w:rPr>
                <w:rFonts w:ascii="Times New Roman" w:eastAsia="Times New Roman" w:hAnsi="Times New Roman" w:cs="Times New Roman"/>
                <w:color w:val="000000"/>
              </w:rPr>
              <w:br/>
              <w:t>- Vụ Tuyên truyền,</w:t>
            </w:r>
            <w:r w:rsidRPr="00DC31B0">
              <w:rPr>
                <w:rFonts w:ascii="Times New Roman" w:eastAsia="Times New Roman" w:hAnsi="Times New Roman" w:cs="Times New Roman"/>
                <w:color w:val="000000"/>
              </w:rPr>
              <w:br/>
              <w:t>- Lưu HC.</w:t>
            </w:r>
          </w:p>
        </w:tc>
        <w:tc>
          <w:tcPr>
            <w:tcW w:w="4428" w:type="dxa"/>
            <w:shd w:val="clear" w:color="auto" w:fill="FFFFFF"/>
            <w:tcMar>
              <w:top w:w="0" w:type="dxa"/>
              <w:left w:w="108" w:type="dxa"/>
              <w:bottom w:w="0" w:type="dxa"/>
              <w:right w:w="108" w:type="dxa"/>
            </w:tcMar>
            <w:hideMark/>
          </w:tcPr>
          <w:p w:rsidR="00DC31B0" w:rsidRPr="00DC31B0" w:rsidRDefault="00DC31B0" w:rsidP="00DC31B0">
            <w:pPr>
              <w:spacing w:before="120" w:after="120" w:line="234" w:lineRule="atLeast"/>
              <w:jc w:val="center"/>
              <w:rPr>
                <w:rFonts w:ascii="Times New Roman" w:eastAsia="Times New Roman" w:hAnsi="Times New Roman" w:cs="Times New Roman"/>
                <w:color w:val="000000"/>
                <w:sz w:val="28"/>
                <w:szCs w:val="28"/>
              </w:rPr>
            </w:pPr>
            <w:r w:rsidRPr="00DC31B0">
              <w:rPr>
                <w:rFonts w:ascii="Times New Roman" w:eastAsia="Times New Roman" w:hAnsi="Times New Roman" w:cs="Times New Roman"/>
                <w:b/>
                <w:bCs/>
                <w:color w:val="000000"/>
                <w:sz w:val="28"/>
                <w:szCs w:val="28"/>
              </w:rPr>
              <w:t>K/T TRƯỞNG BAN</w:t>
            </w:r>
            <w:r w:rsidRPr="00DC31B0">
              <w:rPr>
                <w:rFonts w:ascii="Times New Roman" w:eastAsia="Times New Roman" w:hAnsi="Times New Roman" w:cs="Times New Roman"/>
                <w:b/>
                <w:bCs/>
                <w:color w:val="000000"/>
                <w:sz w:val="28"/>
                <w:szCs w:val="28"/>
              </w:rPr>
              <w:br/>
            </w:r>
            <w:r w:rsidRPr="00DC31B0">
              <w:rPr>
                <w:rFonts w:ascii="Times New Roman" w:eastAsia="Times New Roman" w:hAnsi="Times New Roman" w:cs="Times New Roman"/>
                <w:color w:val="000000"/>
                <w:sz w:val="28"/>
                <w:szCs w:val="28"/>
              </w:rPr>
              <w:t>PHÓ TRƯỞNG BAN</w:t>
            </w:r>
            <w:r w:rsidRPr="00DC31B0">
              <w:rPr>
                <w:rFonts w:ascii="Times New Roman" w:eastAsia="Times New Roman" w:hAnsi="Times New Roman" w:cs="Times New Roman"/>
                <w:color w:val="000000"/>
                <w:sz w:val="28"/>
                <w:szCs w:val="28"/>
              </w:rPr>
              <w:br/>
            </w:r>
            <w:r w:rsidRPr="00DC31B0">
              <w:rPr>
                <w:rFonts w:ascii="Times New Roman" w:eastAsia="Times New Roman" w:hAnsi="Times New Roman" w:cs="Times New Roman"/>
                <w:b/>
                <w:bCs/>
                <w:color w:val="000000"/>
                <w:sz w:val="28"/>
                <w:szCs w:val="28"/>
              </w:rPr>
              <w:br/>
            </w:r>
            <w:r w:rsidRPr="00DC31B0">
              <w:rPr>
                <w:rFonts w:ascii="Times New Roman" w:eastAsia="Times New Roman" w:hAnsi="Times New Roman" w:cs="Times New Roman"/>
                <w:b/>
                <w:bCs/>
                <w:color w:val="000000"/>
                <w:sz w:val="28"/>
                <w:szCs w:val="28"/>
              </w:rPr>
              <w:br/>
            </w:r>
            <w:r w:rsidRPr="00DC31B0">
              <w:rPr>
                <w:rFonts w:ascii="Times New Roman" w:eastAsia="Times New Roman" w:hAnsi="Times New Roman" w:cs="Times New Roman"/>
                <w:b/>
                <w:bCs/>
                <w:color w:val="000000"/>
                <w:sz w:val="28"/>
                <w:szCs w:val="28"/>
              </w:rPr>
              <w:br/>
            </w:r>
            <w:r w:rsidRPr="00DC31B0">
              <w:rPr>
                <w:rFonts w:ascii="Times New Roman" w:eastAsia="Times New Roman" w:hAnsi="Times New Roman" w:cs="Times New Roman"/>
                <w:b/>
                <w:bCs/>
                <w:color w:val="000000"/>
                <w:sz w:val="28"/>
                <w:szCs w:val="28"/>
              </w:rPr>
              <w:br/>
              <w:t>Đinh Thị Mai</w:t>
            </w:r>
          </w:p>
        </w:tc>
      </w:tr>
    </w:tbl>
    <w:p w:rsidR="00A4597D" w:rsidRPr="00DC31B0" w:rsidRDefault="00A4597D">
      <w:pPr>
        <w:rPr>
          <w:rFonts w:ascii="Times New Roman" w:hAnsi="Times New Roman" w:cs="Times New Roman"/>
          <w:sz w:val="28"/>
          <w:szCs w:val="28"/>
        </w:rPr>
      </w:pPr>
    </w:p>
    <w:sectPr w:rsidR="00A4597D" w:rsidRPr="00DC31B0" w:rsidSect="00DC31B0">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B0"/>
    <w:rsid w:val="0078469B"/>
    <w:rsid w:val="00A4597D"/>
    <w:rsid w:val="00DC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1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1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4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dung</cp:lastModifiedBy>
  <cp:revision>2</cp:revision>
  <dcterms:created xsi:type="dcterms:W3CDTF">2025-02-23T02:33:00Z</dcterms:created>
  <dcterms:modified xsi:type="dcterms:W3CDTF">2025-02-23T02:33:00Z</dcterms:modified>
</cp:coreProperties>
</file>